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8FB44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襄阳市（好房子）测评申报</w:t>
      </w:r>
    </w:p>
    <w:p w14:paraId="5BDEF917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13A91273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3C2B9EE1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78EF010C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7FC087E7">
      <w:pP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</w:pPr>
    </w:p>
    <w:p w14:paraId="2AA8D0EB">
      <w:pPr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空间优化度</w:t>
      </w:r>
    </w:p>
    <w:p w14:paraId="43928B2D">
      <w:pPr>
        <w:jc w:val="center"/>
        <w:rPr>
          <w:rFonts w:hint="eastAsia" w:ascii="宋体" w:hAnsi="宋体" w:cs="宋体"/>
          <w:b/>
          <w:bCs/>
          <w:sz w:val="144"/>
          <w:szCs w:val="200"/>
        </w:rPr>
      </w:pPr>
    </w:p>
    <w:p w14:paraId="5D464B59">
      <w:pPr>
        <w:spacing w:line="360" w:lineRule="auto"/>
        <w:jc w:val="left"/>
        <w:rPr>
          <w:rFonts w:hint="eastAsia"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本章节共有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 xml:space="preserve">     分值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，申报项目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测评分值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（    ）。</w:t>
      </w:r>
    </w:p>
    <w:p w14:paraId="7A6F5F22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br w:type="page"/>
      </w:r>
    </w:p>
    <w:p w14:paraId="17957085">
      <w:pPr>
        <w:autoSpaceDE/>
        <w:autoSpaceDN/>
        <w:spacing w:before="240" w:beforeLines="100" w:after="240" w:afterLines="100"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0" w:name="6.1_一般规定"/>
      <w:bookmarkEnd w:id="0"/>
      <w:bookmarkStart w:id="1" w:name="6.2_小区规划"/>
      <w:bookmarkEnd w:id="1"/>
      <w:bookmarkStart w:id="2" w:name="_Toc17352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小区规划</w:t>
      </w:r>
      <w:bookmarkEnd w:id="2"/>
    </w:p>
    <w:p w14:paraId="1D7CBE8F">
      <w:pPr>
        <w:autoSpaceDE/>
        <w:autoSpaceDN/>
        <w:spacing w:before="120" w:beforeLines="50" w:after="120" w:afterLines="50" w:line="360" w:lineRule="auto"/>
        <w:jc w:val="center"/>
        <w:rPr>
          <w:rFonts w:asciiTheme="majorHAnsi" w:hAnsiTheme="majorHAnsi" w:eastAsiaTheme="minorEastAsia" w:cstheme="minorEastAsia"/>
          <w:b/>
          <w:bCs/>
          <w:sz w:val="24"/>
          <w:szCs w:val="24"/>
        </w:rPr>
      </w:pPr>
      <w:bookmarkStart w:id="3" w:name="I_整体布局"/>
      <w:bookmarkEnd w:id="3"/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begin"/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instrText xml:space="preserve"> = 1 \* ROMAN \* MERGEFORMAT </w:instrTex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separate"/>
      </w:r>
      <w:r>
        <w:rPr>
          <w:rFonts w:asciiTheme="majorHAnsi" w:hAnsiTheme="majorHAnsi"/>
          <w:b/>
          <w:bCs/>
        </w:rPr>
        <w:t>I</w: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整体布局</w:t>
      </w:r>
    </w:p>
    <w:p w14:paraId="063E8503">
      <w:pPr>
        <w:numPr>
          <w:ilvl w:val="1"/>
          <w:numId w:val="1"/>
        </w:num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根据容积率来区分，容积率不高于1.5的，得2分，容积率在1.5-2.0之间的得1分，容积率大于2.0但不高于2.5的得0.5分。</w:t>
      </w:r>
    </w:p>
    <w:p w14:paraId="573BF36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F5AB8D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AE18D26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90F0E6D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0F9E3A9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736C7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8995C05">
      <w:pPr>
        <w:numPr>
          <w:ilvl w:val="0"/>
          <w:numId w:val="0"/>
        </w:numPr>
        <w:autoSpaceDE/>
        <w:autoSpaceDN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4F28CF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 多层住宅不低于50%的楼栋直视距离不小于18m，且直视</w:t>
      </w:r>
      <w:r>
        <w:rPr>
          <w:rFonts w:asciiTheme="minorEastAsia" w:hAnsiTheme="minorEastAsia" w:eastAsiaTheme="minorEastAsia" w:cstheme="minorEastAsia"/>
          <w:sz w:val="21"/>
          <w:szCs w:val="21"/>
        </w:rPr>
        <w:t>距离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超襄阳市规划技术管理规定10%以上，得1分，不小于</w:t>
      </w:r>
      <w:r>
        <w:rPr>
          <w:rFonts w:asciiTheme="minorEastAsia" w:hAnsiTheme="minorEastAsia" w:eastAsiaTheme="minorEastAsia" w:cstheme="minorEastAsia"/>
          <w:sz w:val="21"/>
          <w:szCs w:val="21"/>
        </w:rPr>
        <w:t>25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m，得2分；高层住宅不低于50%的楼栋主要居室直视距离不小于30m，且直视</w:t>
      </w:r>
      <w:r>
        <w:rPr>
          <w:rFonts w:asciiTheme="minorEastAsia" w:hAnsiTheme="minorEastAsia" w:eastAsiaTheme="minorEastAsia" w:cstheme="minorEastAsia"/>
          <w:sz w:val="21"/>
          <w:szCs w:val="21"/>
        </w:rPr>
        <w:t>距离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超襄阳市规划技术管理规定10%以上，得1分，不小于4</w:t>
      </w:r>
      <w:r>
        <w:rPr>
          <w:rFonts w:asciiTheme="minorEastAsia" w:hAnsiTheme="minorEastAsia" w:eastAsiaTheme="minorEastAsia" w:cstheme="minorEastAsia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m，得2分。(多层住宅、高层住宅的定义可根据《襄阳市城市规划管理技术规定》来确定)</w:t>
      </w:r>
    </w:p>
    <w:p w14:paraId="6D9B6A1A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57212CB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59B6B13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FF1E98A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0A0DED4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E940D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3B69EC6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129739F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0632B38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 小区住宅全部为板式或多层住宅的，得2分，50%楼栋为板式楼的，得1分。</w:t>
      </w:r>
    </w:p>
    <w:p w14:paraId="120EFE01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D783BB5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C5E1C42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E54054E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8D650E2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BAB8C6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406710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63D30D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7EC0E73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 合理设置架空层，测评总分值为2分，并按下列规则分别评分并累计：</w:t>
      </w:r>
    </w:p>
    <w:p w14:paraId="2E77CC7B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.4.1 建筑高度大于30m的住房，首层架空层建筑数量比例大于1/2，得1分；</w:t>
      </w:r>
    </w:p>
    <w:p w14:paraId="37EA631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.4.2 架空层层高在大于3.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m和小于4.5m之间，得0.5分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架空层层高不低于4.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m，得1分。</w:t>
      </w:r>
    </w:p>
    <w:p w14:paraId="3B3908D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68C27CE2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4D26C5B3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62934A0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67DBAF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51C235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5AF50AC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86DD34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4A5D83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 小区95%以上的住房日照满足襄阳规定的日照标准，得1分。</w:t>
      </w:r>
    </w:p>
    <w:p w14:paraId="5F109C6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6B58B6F4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3FA56B4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A5896B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86D790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4B74FB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F0904E8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36BA467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7922333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1.6 小区整体标高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高出相邻市政道路标高1</w:t>
      </w:r>
      <w:r>
        <w:rPr>
          <w:rFonts w:asciiTheme="minorEastAsia" w:hAnsiTheme="minorEastAsia" w:eastAsiaTheme="minorEastAsia" w:cstheme="minorEastAsia"/>
          <w:sz w:val="21"/>
          <w:szCs w:val="21"/>
        </w:rPr>
        <w:t>.2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以内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，小区的车行出入口与城市道路可平顺衔接，得1分。</w:t>
      </w:r>
    </w:p>
    <w:p w14:paraId="6C9957F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600480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912EBDC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1CEC03BC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435EFA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AE1032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326A00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2C0E3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A1759E6">
      <w:pPr>
        <w:autoSpaceDE/>
        <w:autoSpaceDN/>
        <w:spacing w:before="120" w:beforeLines="50" w:after="120" w:afterLines="50" w:line="360" w:lineRule="auto"/>
        <w:jc w:val="center"/>
        <w:rPr>
          <w:rFonts w:ascii="黑体" w:hAnsi="黑体" w:eastAsia="黑体" w:cs="黑体"/>
          <w:b/>
          <w:bCs/>
          <w:sz w:val="24"/>
          <w:szCs w:val="24"/>
        </w:rPr>
      </w:pPr>
      <w:bookmarkStart w:id="4" w:name="III_小区配套"/>
      <w:bookmarkEnd w:id="4"/>
      <w:bookmarkStart w:id="5" w:name="II_小区交通"/>
      <w:bookmarkEnd w:id="5"/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begin"/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instrText xml:space="preserve"> = 3 \* ROMAN \* MERGEFORMAT </w:instrTex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separate"/>
      </w:r>
      <w:r>
        <w:rPr>
          <w:rFonts w:asciiTheme="majorHAnsi" w:hAnsiTheme="majorHAnsi" w:eastAsiaTheme="minorEastAsia" w:cstheme="minorEastAsia"/>
          <w:b/>
          <w:bCs/>
        </w:rPr>
        <w:t>III</w: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小区配套</w:t>
      </w:r>
    </w:p>
    <w:p w14:paraId="118E13E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 合理设置多种小型嵌入式服务设施，包括养老托育、社区助餐、家政便民、健康诊疗、体育健身、文化休闲、儿童游憩等，设置2项得0.5分，设置4项得1分，设置6项及以上得1.5分。</w:t>
      </w:r>
    </w:p>
    <w:p w14:paraId="7F4F1EA0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64F74410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89A2EC4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CDBFCD5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04FC5A4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3925A2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43A013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0E15E76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51AD76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 合理设置健身活动场地和健身步道，健身步道宽度不小于1.25m，长度不小于用地红线周长的1/4且不小于100m，并设置引导标识，得1分。</w:t>
      </w:r>
    </w:p>
    <w:p w14:paraId="4D88C904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0E48E606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C531204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162F699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0E482C9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E3C505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8992AC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0CF0337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57B6E81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 合理设置体育健身设施和场所，测评总分值为5分，并按下列规则分别评分并累计：</w:t>
      </w:r>
    </w:p>
    <w:p w14:paraId="1E3CA8D6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.9.1 按规模配置小型体育健身设施，满足3项，得0.5分，满足4项及以上，得1分；</w:t>
      </w:r>
    </w:p>
    <w:p w14:paraId="59ED9C30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.9.2 设置两处健身休闲场所，得1分，设置两处以上健身休闲场所，得2分；</w:t>
      </w:r>
    </w:p>
    <w:p w14:paraId="537A8A2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.9.3 独立设置</w:t>
      </w:r>
      <w:r>
        <w:rPr>
          <w:rFonts w:asciiTheme="minorEastAsia" w:hAnsiTheme="minorEastAsia" w:eastAsiaTheme="minorEastAsia" w:cstheme="minorEastAsia"/>
          <w:sz w:val="21"/>
          <w:szCs w:val="21"/>
        </w:rPr>
        <w:t>体育运动场所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，得2分。</w:t>
      </w:r>
    </w:p>
    <w:p w14:paraId="4DC3B633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202547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2AA338C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22F3F19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0BC52082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5DA243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ACC981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899F99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B0A1D16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.10 合理设置公共餐厨及公共客厅，测评总分值为3分，并按下列规则分别评分并累计：</w:t>
      </w:r>
    </w:p>
    <w:p w14:paraId="72A71206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.10.1 设置公共厨房、共享餐厅，得1分；</w:t>
      </w:r>
    </w:p>
    <w:p w14:paraId="371A23C7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.10.2 设置有封闭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公共客厅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，得1.5分；</w:t>
      </w:r>
    </w:p>
    <w:p w14:paraId="18F46C7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.10.3 利用架空层设置敞开式休闲活动场所，得0.5分。</w:t>
      </w:r>
    </w:p>
    <w:p w14:paraId="428691C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3F4C1DF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3C154F6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50BC5383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58CDC9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0ED500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2CE6FB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31C15F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2C46251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.11 合理设计地下净高与车位尺寸，测评总分值2分，并按下列规则评分：</w:t>
      </w:r>
    </w:p>
    <w:p w14:paraId="59C010C3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.11.1 地下室车库净高不低于2.4m，得1分；</w:t>
      </w:r>
    </w:p>
    <w:p w14:paraId="74B494C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.11.2 80%的车位尺寸为2400mm*5300mm，得0.5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3000mm*5300mm配比超过2%，得1分。</w:t>
      </w:r>
    </w:p>
    <w:p w14:paraId="3D6AC4A7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98A7B77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48C277F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16D53B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8CEC8A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AC29E7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71ACB0C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7982B7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B85D467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.12 在地下或地上设置独立的非机动车充电车位的，得1分。</w:t>
      </w:r>
    </w:p>
    <w:p w14:paraId="17CBBC47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39B4A42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B27D5D2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178E2189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A41333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FC268E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E0569D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FE8762F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44926F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超规划设计条件配建社区办公、文体活动中心、老年照料中心等配套建筑（超规划设计条件约定面积200㎡以上），并无偿移交政府或社区使用的，得2分。</w:t>
      </w:r>
    </w:p>
    <w:p w14:paraId="2CB75665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EEBB112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1BD7D5C9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80B67F4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57C56C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E0FC4E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35A6D0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5A4F8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41873EA">
      <w:pPr>
        <w:autoSpaceDE/>
        <w:autoSpaceDN/>
        <w:spacing w:before="120" w:beforeLines="50" w:after="120" w:afterLines="50" w:line="360" w:lineRule="auto"/>
        <w:jc w:val="center"/>
        <w:rPr>
          <w:rFonts w:ascii="黑体" w:hAnsi="黑体" w:eastAsia="黑体" w:cs="黑体"/>
          <w:b/>
          <w:bCs/>
          <w:sz w:val="24"/>
          <w:szCs w:val="24"/>
        </w:rPr>
      </w:pPr>
      <w:bookmarkStart w:id="6" w:name="IV_景观绿化"/>
      <w:bookmarkEnd w:id="6"/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begin"/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instrText xml:space="preserve"> = 4 \* ROMAN \* MERGEFORMAT </w:instrTex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separate"/>
      </w:r>
      <w:r>
        <w:rPr>
          <w:rFonts w:asciiTheme="majorHAnsi" w:hAnsiTheme="majorHAnsi"/>
          <w:b/>
          <w:bCs/>
        </w:rPr>
        <w:t>IV</w: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景观绿化</w:t>
      </w:r>
    </w:p>
    <w:p w14:paraId="6F09F49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小区绿地率不低于35%，得1分；不低于38%，得2分。</w:t>
      </w:r>
    </w:p>
    <w:p w14:paraId="1D220A17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6E2ADB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D420597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B0BA893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6B4001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E67E13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F02FA0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CCF14A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7F32D72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合理设置景观水体，测评总分值为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分，并按下列规则分别评分并累计：</w:t>
      </w:r>
    </w:p>
    <w:p w14:paraId="4C343587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 小区设置景观水体，得1分</w:t>
      </w:r>
      <w:bookmarkStart w:id="21" w:name="_GoBack"/>
      <w:bookmarkEnd w:id="21"/>
      <w:r>
        <w:rPr>
          <w:rFonts w:hint="eastAsia" w:asciiTheme="minorEastAsia" w:hAnsiTheme="minorEastAsia" w:eastAsiaTheme="minorEastAsia" w:cstheme="minorEastAsia"/>
          <w:sz w:val="21"/>
          <w:szCs w:val="21"/>
        </w:rPr>
        <w:t>；</w:t>
      </w:r>
    </w:p>
    <w:p w14:paraId="4617EA1B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 配置景观水循环净化系统，得1分；</w:t>
      </w:r>
    </w:p>
    <w:p w14:paraId="1A7BE70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 水景面积占红线面积的比例小于0.5%的得0.5分，大于0.5%、小于1%的得1分，大于1%的得1.5分。</w:t>
      </w:r>
    </w:p>
    <w:p w14:paraId="385A34C2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E1D8851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B9D5A0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18CDB548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C1EC2B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6309F7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AC72D5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4C0606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2587CA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各类雨水回用池、化粪池、隔油池检修口远离人员集聚场所，不破坏景观绿化，且做美化处理的，得0.5分。</w:t>
      </w:r>
    </w:p>
    <w:p w14:paraId="6819C989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8C96631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DDE91F9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1BE2DE7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01FFB8F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5859AB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042498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69C6AE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EBAA07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</w:t>
      </w:r>
      <w:r>
        <w:rPr>
          <w:rFonts w:asciiTheme="minorEastAsia" w:hAnsiTheme="minorEastAsia" w:eastAsiaTheme="minorEastAsia" w:cstheme="minorEastAsia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小区雨污水管网与市政管网接驳通畅，符合交付后雨污分流排放要求的，得0.5分。</w:t>
      </w:r>
    </w:p>
    <w:p w14:paraId="2A80D249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3510F6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80B7D34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66E3AAD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4B81F2E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0C20E6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CBD265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33B159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433DAB2">
      <w:pPr>
        <w:autoSpaceDE/>
        <w:autoSpaceDN/>
        <w:spacing w:before="240" w:beforeLines="100" w:after="240" w:afterLines="100"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7" w:name="6.3_小区风貌"/>
      <w:bookmarkEnd w:id="7"/>
      <w:bookmarkStart w:id="8" w:name="_Toc18356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小区风貌</w:t>
      </w:r>
      <w:bookmarkEnd w:id="8"/>
    </w:p>
    <w:p w14:paraId="3E88F713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 住房外立面美观，满足下列要求中2项，得4分：</w:t>
      </w:r>
    </w:p>
    <w:p w14:paraId="176C35E5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.1.1 临城市重要开敞空间或临红线宽度30米以上城市道路的住房，外立面采用公建化设计，小区内其他住房并与之协调；</w:t>
      </w:r>
    </w:p>
    <w:p w14:paraId="170CF764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.1.2 建筑采用符合地域特色或城市发展风貌的建筑设计，发展地域建筑文化；</w:t>
      </w:r>
    </w:p>
    <w:p w14:paraId="02538EEC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.1.3 建筑采用其他符合当地气候条件的特色建筑外立面设计方式，实用美观；</w:t>
      </w:r>
    </w:p>
    <w:p w14:paraId="4332636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.1.4 建筑立面檐口、窗套、线脚、空调、格栅、百叶等细节设计精致有序，建筑附属的管线及设施设计规整统一。</w:t>
      </w:r>
    </w:p>
    <w:p w14:paraId="58B3C9A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74A8E7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15482F33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8045D43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E65565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322C7B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633908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B4EC0E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DF14060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 外立面合理采用高品质外装饰材料，测评总分值为3分，并按下列规则评分：</w:t>
      </w:r>
    </w:p>
    <w:p w14:paraId="094689B0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.2.1 住房单元门厅外立面高品质外装饰材料，得0.5分；</w:t>
      </w:r>
    </w:p>
    <w:p w14:paraId="04036584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.2.2 住房底部（不少于一层）外立面采用高品质外装饰材料，得1分；</w:t>
      </w:r>
    </w:p>
    <w:p w14:paraId="0C1686E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.2.3 住房外立面全采用高品质外装饰材料，得1.5分。</w:t>
      </w:r>
    </w:p>
    <w:p w14:paraId="1C2E409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6DA7143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11ADACB2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8D25653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736CA48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596B44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1F1C59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ED4303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B1F201F">
      <w:pPr>
        <w:autoSpaceDE/>
        <w:autoSpaceDN/>
        <w:spacing w:before="240" w:beforeLines="100" w:after="240" w:afterLines="100"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9" w:name="6.4_建筑空间"/>
      <w:bookmarkEnd w:id="9"/>
      <w:bookmarkStart w:id="10" w:name="_Toc28679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建筑空间</w:t>
      </w:r>
      <w:bookmarkEnd w:id="10"/>
    </w:p>
    <w:p w14:paraId="0BE62969">
      <w:pPr>
        <w:autoSpaceDE/>
        <w:autoSpaceDN/>
        <w:spacing w:before="120" w:beforeLines="50" w:after="120" w:afterLines="50" w:line="360" w:lineRule="auto"/>
        <w:jc w:val="center"/>
        <w:rPr>
          <w:rFonts w:asciiTheme="majorHAnsi" w:hAnsiTheme="majorHAnsi" w:eastAsiaTheme="minorEastAsia" w:cstheme="minorEastAsia"/>
          <w:b/>
          <w:bCs/>
          <w:sz w:val="24"/>
          <w:szCs w:val="24"/>
        </w:rPr>
      </w:pPr>
      <w:bookmarkStart w:id="11" w:name="I_公共空间"/>
      <w:bookmarkEnd w:id="11"/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begin"/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instrText xml:space="preserve"> = 1 \* ROMAN \* MERGEFORMAT </w:instrTex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separate"/>
      </w:r>
      <w:r>
        <w:rPr>
          <w:rFonts w:asciiTheme="majorHAnsi" w:hAnsiTheme="majorHAnsi"/>
          <w:b/>
          <w:bCs/>
        </w:rPr>
        <w:t>I</w: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公共空间</w:t>
      </w:r>
    </w:p>
    <w:p w14:paraId="797A4B07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 电梯前室有自然采光和自然通风的，得1.5分。</w:t>
      </w:r>
    </w:p>
    <w:p w14:paraId="7B5FEF0F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B2B9687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B67EFAE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B2D9C3B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9B63B5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6E9858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702A18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253DEF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579F691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 合理设置住房电梯数量及轿厢与电梯厅净高，测评总分值为1.5分，并按下列规则分别评分并累计：</w:t>
      </w:r>
    </w:p>
    <w:p w14:paraId="0E939F93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.2.1 平均每台电梯服务户数不超过50户，得0.5分；</w:t>
      </w:r>
    </w:p>
    <w:p w14:paraId="292AAD2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.2.2 电梯厅净高度不小于2.60m，得1分；电梯轿厢高度不小于2.60m，得</w:t>
      </w:r>
      <w:r>
        <w:rPr>
          <w:rFonts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分。</w:t>
      </w:r>
    </w:p>
    <w:p w14:paraId="431A7982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EBC5356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D2A2617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5AA67FF5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4CF49AE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DE796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16601A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4A9351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AAB1C94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 地下空间合理采用天然采光、自然通风，测评总分值为1.5分，并按下列规则分别评分并累计：</w:t>
      </w:r>
    </w:p>
    <w:p w14:paraId="015A5863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.3.1 设置一定规模的下沉庭院，得0.5分；</w:t>
      </w:r>
    </w:p>
    <w:p w14:paraId="2B9FB07F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.3.2 设置一定数量的可采光通风的天井，得0.5分；</w:t>
      </w:r>
    </w:p>
    <w:p w14:paraId="189699E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.3.3 采用一定数量的光导照明，得0.5分。</w:t>
      </w:r>
    </w:p>
    <w:p w14:paraId="0AC5B509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94506F9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5098ACE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181BD55F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0781E6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F12484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348926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52A9C5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DCA8DE5">
      <w:pPr>
        <w:autoSpaceDE/>
        <w:autoSpaceDN/>
        <w:spacing w:before="120" w:beforeLines="50" w:after="120" w:afterLines="50" w:line="360" w:lineRule="auto"/>
        <w:jc w:val="center"/>
        <w:rPr>
          <w:rFonts w:asciiTheme="majorHAnsi" w:hAnsiTheme="majorHAnsi" w:eastAsiaTheme="minorEastAsia" w:cstheme="minorEastAsia"/>
          <w:sz w:val="24"/>
          <w:szCs w:val="24"/>
        </w:rPr>
      </w:pPr>
      <w:bookmarkStart w:id="12" w:name="II_套内空间"/>
      <w:bookmarkEnd w:id="12"/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begin"/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instrText xml:space="preserve"> = 2 \* ROMAN \* MERGEFORMAT </w:instrTex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separate"/>
      </w:r>
      <w:r>
        <w:rPr>
          <w:rFonts w:asciiTheme="majorHAnsi" w:hAnsiTheme="majorHAnsi"/>
          <w:b/>
          <w:bCs/>
        </w:rPr>
        <w:t>II</w: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套内空间</w:t>
      </w:r>
    </w:p>
    <w:p w14:paraId="05698BF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 起居室、餐厅、卧室等主要使用空间不现梁、柱等结构构件，得1分。</w:t>
      </w:r>
    </w:p>
    <w:p w14:paraId="39DD231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753C3D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55BA19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5761514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13FDC6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3C16F2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1F2B18F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B7E491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E7B8F2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 合理设置住房层高，最高测评分值为2分，并按下列规则评分：住房层高不低于3.00m，得1分；住房层高不低于3.00m且50%以上住房层高不低于3.1米，得2分。</w:t>
      </w:r>
    </w:p>
    <w:p w14:paraId="0FC66CBC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3EAD8834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8F0EFD6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E6820C2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066CFB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5309D2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B63C3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43F865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7CDA42A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 主要房间尺寸合宜，测评总分值为2分，并按下列规则评分：</w:t>
      </w:r>
    </w:p>
    <w:p w14:paraId="13020A5E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.6.1 不大于140㎡户型，双人卧室的短边净宽度不小于3.10m，单人卧室的短边净宽度不小于2.20m，得1分；大于140㎡户型，双人卧室的短边净宽度不小于3.20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m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，单人卧室的短边净宽度不小于2.40m，得1分；</w:t>
      </w:r>
    </w:p>
    <w:p w14:paraId="7E7D917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.6.2 起居厅短边净宽度不小于3.00m，其中布置家具的墙面直线长度不应小于3.0m，面积大于 24㎡，得1分。</w:t>
      </w:r>
    </w:p>
    <w:p w14:paraId="7719B9A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B48228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9801C9E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521F0323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45BFC9E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FACC3B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5C8045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DD0A3D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14A935C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 合理设计厨房空间（厨房面积指包含厨房及厨房阳台面积），测评总分值为1分，并按下列规则分别评分并累计：</w:t>
      </w:r>
    </w:p>
    <w:p w14:paraId="0DE67C77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.7.1 中小套型（140㎡及以下）厨房面积不小于8㎡，大套型（140㎡以上）厨房面积不小于10㎡，得0.5分；</w:t>
      </w:r>
    </w:p>
    <w:p w14:paraId="472E32E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.7.2 台前操作空间净宽不小于1.00m，得0.5分。</w:t>
      </w:r>
    </w:p>
    <w:p w14:paraId="6779E39C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5962AB6A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69AC514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4678C38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B280B2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9AE139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04B46A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A6B5E73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0859246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 合理设计卫生间空间，测评总分值为2分，并按下列规则分别评分并累计：</w:t>
      </w:r>
    </w:p>
    <w:p w14:paraId="682A83E9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.8.1 住房套型内所有卫生间都自然采光通风，得1分；</w:t>
      </w:r>
    </w:p>
    <w:p w14:paraId="28098B9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.8.2 如厕空间、盥洗空间、洗浴空间均独立布置，得1分。</w:t>
      </w:r>
    </w:p>
    <w:p w14:paraId="115B518F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CFF5597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F67CED8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59B77025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489FB8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9DE453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87D11B8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05C249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C6FAE20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 合理设置足够空间的阳台及相关配置，测评总分值为2分，并按下列规则分别评分并累计：</w:t>
      </w:r>
    </w:p>
    <w:p w14:paraId="05D004EA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 中小套型（140㎡及以下）阳台（非生活阳台）进深不小于1.6m，大套型（140㎡以上）阳台（非生活阳台）进深不小于1.8m，得1.5分；</w:t>
      </w:r>
    </w:p>
    <w:p w14:paraId="235B22F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 阳台预留用水点位，方便植物浇灌，得0.5分。</w:t>
      </w:r>
    </w:p>
    <w:p w14:paraId="237D26A5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6BD1ADA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D1B5705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12C60ED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05E2171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A4B72C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6FE852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DA853A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CF152FF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.10 当套型的卧室及书房外部无阳台时，至少1个卧室及书房设置飘窗，得0.5分；每个卧室及书房均设置飘窗，得1分。</w:t>
      </w:r>
    </w:p>
    <w:p w14:paraId="2EB60EEA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C27F7A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801BB67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26404DB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D5A043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225A2F2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8B0B4E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6F8E09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98D399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.11 主卧采用套房设计，设置卫生间、独立衣帽间、独立书房等多样化个性扩展空间，得1分。</w:t>
      </w:r>
    </w:p>
    <w:p w14:paraId="4E915F5C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53C410F0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AE31891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35F4444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341705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659340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F4163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753D68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5F7CC3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.12 景观阳台、生活阳台、卫生间非淋浴区采用防臭的地漏，得0.5分。</w:t>
      </w:r>
    </w:p>
    <w:p w14:paraId="5024F5FF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5F041AB6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3BA2D4C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657A9E8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2D0B6E5C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291EEB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2C8CE6F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3381F4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42F4866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.13 所有户型开间进深比的</w:t>
      </w:r>
      <w:r>
        <w:rPr>
          <w:rFonts w:asciiTheme="minorEastAsia" w:hAnsiTheme="minorEastAsia" w:eastAsiaTheme="minorEastAsia" w:cstheme="minorEastAsia"/>
          <w:sz w:val="21"/>
          <w:szCs w:val="21"/>
        </w:rPr>
        <w:t>平均值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大于1.0的，得1分，大于1.2的，得2分。</w:t>
      </w:r>
    </w:p>
    <w:p w14:paraId="6C0F7C47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15328C6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4EC6431B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6C6E194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4889A0E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6BF79C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61279D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EA43FB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C0AF36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.14 住宅入户门洞口尺寸不低于2300mm*1100mm，得1分。</w:t>
      </w:r>
    </w:p>
    <w:p w14:paraId="2BB502AA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631F81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6EFBBB0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68A8DA3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D1C444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F19994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A2D0BA7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3BC062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12B3525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.15 住宅</w:t>
      </w: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>设计为分散式空调外机位时，至少有一个空调外机位能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放</w:t>
      </w: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>下中央空调主机，且不紧邻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卧室</w:t>
      </w: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>外墙设置，得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1分</w:t>
      </w: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 w14:paraId="77D567F4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592C915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1C07B9F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0C41F21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094564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DDE050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B96CEA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1BF0977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</w:pPr>
    </w:p>
    <w:p w14:paraId="510182E0">
      <w:pPr>
        <w:autoSpaceDE/>
        <w:autoSpaceDN/>
        <w:spacing w:before="240" w:beforeLines="100" w:after="240" w:afterLines="100"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13" w:name="_Toc16375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设施设备</w:t>
      </w:r>
      <w:bookmarkEnd w:id="13"/>
    </w:p>
    <w:p w14:paraId="44131CD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公区给水管道采用卫生性能、耐腐蚀性能优异的管材和配件，得1分。</w:t>
      </w:r>
    </w:p>
    <w:p w14:paraId="311A57C9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3E390EF9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86C9115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777E64B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79440DE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27F6D0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7B2E48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52AD86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48A92B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.2 电梯轿厢内设置冷暖空调，得1分。</w:t>
      </w:r>
    </w:p>
    <w:p w14:paraId="2FA1519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85F7D6A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05F2B86E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9435C1B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DC4399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9B9C32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8D240AC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EDB53E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ACDBFB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.3 公区管道设置明确、清晰、醒目的永久性标识，得0.5分。</w:t>
      </w:r>
      <w:bookmarkStart w:id="14" w:name="_bookmark14"/>
      <w:bookmarkEnd w:id="14"/>
      <w:bookmarkStart w:id="15" w:name="6_功能与空间"/>
      <w:bookmarkEnd w:id="15"/>
    </w:p>
    <w:p w14:paraId="34AC8D22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0220E2A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914188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1213AE02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51B7D21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AA2472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7554CF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D14DD3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5E679D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 上人屋面管线设备整洁有序，不影响通行安全，厨房卫生间排气出口按规范高度设置，得0.5分。</w:t>
      </w:r>
    </w:p>
    <w:p w14:paraId="16320B7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6ADE922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3AC9EAA7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D00C5F2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B513F0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BFA0E6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B4D9E0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D516EB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3CA20A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 小区景观内的各类设备控制箱布置合理，不影响景观视觉效果，不影响实际使用要求，得0.5分。</w:t>
      </w:r>
    </w:p>
    <w:p w14:paraId="4D82544A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A072A83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8461CFC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DDFE8B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CD3103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89B2E1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C0E497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EC3672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8DD273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 室外给水消防管线及水箱阀门等设施冬季采取橡塑包裹等防冻措施，得0.5分。</w:t>
      </w:r>
    </w:p>
    <w:p w14:paraId="273CD252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4B56606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EDC5BDE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2A11DEA7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15185D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138CB5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419F8A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94CBEB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096B8A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.7 设有洗浴设施的卫生间设置局部等电位连接，得0.5分。</w:t>
      </w:r>
    </w:p>
    <w:p w14:paraId="17D15CF6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1E92474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073A724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5BB8D9D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15067C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6DDBBFA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4BD8A1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FEDF8D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605C4C8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.8 电器线路采用符合安全和防火要求的线缆和敷设方式配线，得0.5分。</w:t>
      </w:r>
    </w:p>
    <w:p w14:paraId="08A53D4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41503DD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970EB59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C2AE478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8EE6FF8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641B0B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29DD2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1D7A7F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B6E9265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.9 小区给水系统采取空气间隙、设置止回阀或倒流防止器等防回流污染措施，得0.5分。</w:t>
      </w:r>
    </w:p>
    <w:p w14:paraId="0FEA914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6EDAE2A9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5165065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1BFE253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4999D8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FDAA2B9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C4BFC8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AF69164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DBD8C19">
      <w:pPr>
        <w:autoSpaceDE/>
        <w:autoSpaceDN/>
        <w:spacing w:before="240" w:beforeLines="100" w:after="240" w:afterLines="100"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16" w:name="6.5_全龄友好"/>
      <w:bookmarkEnd w:id="16"/>
      <w:bookmarkStart w:id="17" w:name="_Toc1499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全龄友好</w:t>
      </w:r>
      <w:bookmarkEnd w:id="17"/>
    </w:p>
    <w:p w14:paraId="162E26FC">
      <w:pPr>
        <w:autoSpaceDE/>
        <w:autoSpaceDN/>
        <w:spacing w:before="120" w:beforeLines="50" w:after="120" w:afterLines="50" w:line="360" w:lineRule="auto"/>
        <w:jc w:val="center"/>
        <w:rPr>
          <w:rFonts w:ascii="黑体" w:hAnsi="黑体" w:eastAsia="黑体" w:cs="黑体"/>
          <w:b/>
          <w:bCs/>
          <w:sz w:val="24"/>
          <w:szCs w:val="24"/>
        </w:rPr>
      </w:pPr>
      <w:bookmarkStart w:id="18" w:name="I_无障碍与适老"/>
      <w:bookmarkEnd w:id="18"/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begin"/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instrText xml:space="preserve"> = 1 \* ROMAN \* MERGEFORMAT </w:instrTex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separate"/>
      </w:r>
      <w:r>
        <w:rPr>
          <w:rFonts w:asciiTheme="majorHAnsi" w:hAnsiTheme="majorHAnsi" w:eastAsiaTheme="minorEastAsia" w:cstheme="minorEastAsia"/>
          <w:b/>
          <w:bCs/>
        </w:rPr>
        <w:t>I</w: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无障碍与适老</w:t>
      </w:r>
    </w:p>
    <w:p w14:paraId="36B18A31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.1 公共活动场地具备充足的日照条件，满足不低于大寒日2小时的日照标准，得0.5分。</w:t>
      </w:r>
    </w:p>
    <w:p w14:paraId="13EEB9A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1CD5E076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122507A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0F15BBF4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D78187E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87D513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FE30D0C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8CBBCE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124077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在室内公共区域有高差、踏步等场所处设置局部照明，得0.5分。</w:t>
      </w:r>
    </w:p>
    <w:p w14:paraId="216EEA08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3DA6B7E1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75D8A5C5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6D71FD6F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C6D495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26B70AD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1EAA12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6DB7F6A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53F9FF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</w:t>
      </w:r>
      <w:r>
        <w:rPr>
          <w:rFonts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当电梯未成组布置、分别管控、对应服务时，每组电梯各自单独设置1台无障碍电梯及可容纳担架的电梯，得0.5分。</w:t>
      </w:r>
    </w:p>
    <w:p w14:paraId="61AC1436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2106556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5DAC1B1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53B5A4D7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5EB106EB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C3DD43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CCF1E3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22C1CB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20CAA4D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.4 小区内设置公共卫生间的，测评最高得2分。小区内一楼设置公共卫生间的，得1分；同时设置无障碍卫生间的，得2分。</w:t>
      </w:r>
    </w:p>
    <w:p w14:paraId="6A11B355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ACED3AE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62C94292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5F99BB0A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43AB630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6B6FF3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C1B84D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29A600E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88A559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E5A8AF5">
      <w:pPr>
        <w:autoSpaceDE/>
        <w:autoSpaceDN/>
        <w:spacing w:before="120" w:beforeLines="50" w:after="120" w:afterLines="50" w:line="360" w:lineRule="auto"/>
        <w:jc w:val="center"/>
        <w:rPr>
          <w:rFonts w:asciiTheme="majorHAnsi" w:hAnsiTheme="majorHAnsi" w:eastAsiaTheme="minorEastAsia" w:cstheme="minorEastAsia"/>
          <w:b/>
          <w:bCs/>
          <w:sz w:val="24"/>
          <w:szCs w:val="24"/>
        </w:rPr>
      </w:pPr>
      <w:bookmarkStart w:id="19" w:name="II_儿童友好"/>
      <w:bookmarkEnd w:id="19"/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begin"/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instrText xml:space="preserve"> = 2 \* ROMAN \* MERGEFORMAT </w:instrTex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separate"/>
      </w:r>
      <w:r>
        <w:rPr>
          <w:rFonts w:asciiTheme="majorHAnsi" w:hAnsiTheme="majorHAnsi"/>
          <w:b/>
          <w:bCs/>
        </w:rPr>
        <w:t>II</w:t>
      </w:r>
      <w:r>
        <w:rPr>
          <w:rFonts w:asciiTheme="majorHAnsi" w:hAnsiTheme="majorHAnsi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儿童友好</w:t>
      </w:r>
    </w:p>
    <w:p w14:paraId="09E60AA0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.5 儿童活动场地具备充足的日照条件，满足不低于大寒日2小时的日照标准，得0.5分。</w:t>
      </w:r>
    </w:p>
    <w:p w14:paraId="211BEB0C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7F8C7165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29025D0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12D9B643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6892B8D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90C8DF5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5827329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A7771B7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46F0145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.6 合理设置儿童活动场地及游乐设施，测评总分值为5分，并按下列规则分别评分并累计：</w:t>
      </w:r>
    </w:p>
    <w:p w14:paraId="1E097AF4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5.6.1 场地及游乐设施分年龄设置，根据3岁以下、3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～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7岁及7岁以上三个阶段设置不同的主题与内容，得1分；</w:t>
      </w:r>
    </w:p>
    <w:p w14:paraId="08EA5A61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5.6.2 场地及游乐设施按类型设置自然体验型、智力科普型、童话场景型、体能锻炼型等其中不少于两类设施，得1分；</w:t>
      </w:r>
    </w:p>
    <w:p w14:paraId="54F979A1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5.6.3 场地及娱乐设施处设置儿童洗手池，得1分；</w:t>
      </w:r>
    </w:p>
    <w:p w14:paraId="67AC5196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5.6.4 儿童活动场地总面积大于500㎡，得1分；</w:t>
      </w:r>
    </w:p>
    <w:p w14:paraId="083D552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5.6.5 儿童活动场地数量不止一处，得1分；</w:t>
      </w:r>
    </w:p>
    <w:p w14:paraId="5DE563EF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347DC090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0B3489D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7DC57449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3706D037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0217B60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1C94782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E5D0BB6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CAE689D">
      <w:pPr>
        <w:autoSpaceDE/>
        <w:autoSpaceDN/>
        <w:spacing w:line="360" w:lineRule="auto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5.7 儿童活动场地具有安全保护措施，满足以下3项要求得1分：</w:t>
      </w:r>
    </w:p>
    <w:p w14:paraId="29D03BE2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5.7.1 设置导识及安全标识系统；</w:t>
      </w:r>
    </w:p>
    <w:p w14:paraId="61EF6712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5.7.2 场地避免形成儿童易遭伤害的空间，设施不应有尖锐、锋利等易导致受伤的构件；</w:t>
      </w:r>
    </w:p>
    <w:p w14:paraId="59A0E959">
      <w:pPr>
        <w:autoSpaceDE/>
        <w:autoSpaceDN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5.7.3 儿童游乐设施及其缓冲区域场地选用柔软、耐磨的地面材料，且材料污染物释放量满足对应材料规范要求。</w:t>
      </w:r>
      <w:bookmarkStart w:id="20" w:name="7_舒适与健康"/>
      <w:bookmarkEnd w:id="20"/>
    </w:p>
    <w:p w14:paraId="5CF38546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①</w:t>
      </w:r>
      <w:r>
        <w:rPr>
          <w:rFonts w:hint="eastAsia" w:ascii="宋体" w:hAnsi="宋体" w:cs="宋体"/>
          <w:b/>
          <w:sz w:val="24"/>
        </w:rPr>
        <w:t>简要说明</w:t>
      </w:r>
    </w:p>
    <w:p w14:paraId="2CA6522B">
      <w:pPr>
        <w:spacing w:before="156" w:beforeLines="50" w:after="156" w:afterLines="50"/>
        <w:rPr>
          <w:rFonts w:hint="eastAsia" w:ascii="宋体" w:hAnsi="宋体" w:cs="宋体"/>
          <w:b/>
          <w:sz w:val="24"/>
        </w:rPr>
      </w:pPr>
    </w:p>
    <w:p w14:paraId="2C8319B3">
      <w:pPr>
        <w:rPr>
          <w:rFonts w:hint="default" w:ascii="宋体" w:hAnsi="宋体" w:eastAsia="宋体" w:cs="宋体"/>
          <w:sz w:val="24"/>
          <w:lang w:val="en-US" w:eastAsia="zh-CN"/>
        </w:rPr>
      </w:pPr>
    </w:p>
    <w:p w14:paraId="40652130"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sz w:val="24"/>
        </w:rPr>
        <w:t>证明材料（附图）：</w:t>
      </w:r>
    </w:p>
    <w:p w14:paraId="1BC6A8D4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6191D3F">
      <w:pPr>
        <w:autoSpaceDE/>
        <w:autoSpaceDN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5B86653">
      <w:pPr>
        <w:autoSpaceDE/>
        <w:autoSpaceDN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83A8158">
      <w:pPr>
        <w:rPr>
          <w:rFonts w:asciiTheme="minorEastAsia" w:hAnsiTheme="minorEastAsia" w:eastAsiaTheme="minorEastAsia" w:cstheme="minorEastAsia"/>
          <w:sz w:val="21"/>
          <w:szCs w:val="21"/>
        </w:rPr>
      </w:pPr>
    </w:p>
    <w:sectPr>
      <w:footerReference r:id="rId3" w:type="default"/>
      <w:pgSz w:w="11910" w:h="16840"/>
      <w:pgMar w:top="1460" w:right="1559" w:bottom="1380" w:left="1559" w:header="0" w:footer="11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F3382">
    <w:pPr>
      <w:pStyle w:val="6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9791065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63CC3">
                          <w:pPr>
                            <w:pStyle w:val="6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0.6pt;margin-top:770.95pt;height:15.3pt;width:14pt;mso-position-horizontal-relative:page;mso-position-vertical-relative:page;z-index:-251657216;mso-width-relative:page;mso-height-relative:page;" filled="f" stroked="f" coordsize="21600,21600" o:gfxdata="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Q&#10;o3FC2gAAAA0BAAAPAAAAAAAAAAEAIAAAACIAAABkcnMvZG93bnJldi54bWxQSwECFAAUAAAACACH&#10;TuJAfHMXXb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863CC3">
                    <w:pPr>
                      <w:pStyle w:val="6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34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4EDF2"/>
    <w:multiLevelType w:val="multilevel"/>
    <w:tmpl w:val="BED4EDF2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C4F2A"/>
    <w:rsid w:val="00034793"/>
    <w:rsid w:val="000A3067"/>
    <w:rsid w:val="000F6ECB"/>
    <w:rsid w:val="00113408"/>
    <w:rsid w:val="00136A27"/>
    <w:rsid w:val="00140ED1"/>
    <w:rsid w:val="00143BCE"/>
    <w:rsid w:val="00191F69"/>
    <w:rsid w:val="00243E4E"/>
    <w:rsid w:val="002530F2"/>
    <w:rsid w:val="002C4F2A"/>
    <w:rsid w:val="002D3AE6"/>
    <w:rsid w:val="00310D5D"/>
    <w:rsid w:val="00357807"/>
    <w:rsid w:val="00397A4F"/>
    <w:rsid w:val="003F3A96"/>
    <w:rsid w:val="00423802"/>
    <w:rsid w:val="004330F7"/>
    <w:rsid w:val="00445ED4"/>
    <w:rsid w:val="004C16E1"/>
    <w:rsid w:val="0052659A"/>
    <w:rsid w:val="00551EF3"/>
    <w:rsid w:val="00574C8A"/>
    <w:rsid w:val="00587ECD"/>
    <w:rsid w:val="005A310C"/>
    <w:rsid w:val="005B52FA"/>
    <w:rsid w:val="005E1591"/>
    <w:rsid w:val="00632270"/>
    <w:rsid w:val="006A2EF0"/>
    <w:rsid w:val="006C3836"/>
    <w:rsid w:val="006C5243"/>
    <w:rsid w:val="006D1C51"/>
    <w:rsid w:val="006E0AF1"/>
    <w:rsid w:val="006F4ED0"/>
    <w:rsid w:val="006F55F1"/>
    <w:rsid w:val="007C3262"/>
    <w:rsid w:val="007F50ED"/>
    <w:rsid w:val="008A194D"/>
    <w:rsid w:val="008B04D0"/>
    <w:rsid w:val="008B7A9F"/>
    <w:rsid w:val="00950C5C"/>
    <w:rsid w:val="00976E86"/>
    <w:rsid w:val="00A20B47"/>
    <w:rsid w:val="00A325F7"/>
    <w:rsid w:val="00A87C74"/>
    <w:rsid w:val="00AC3DAD"/>
    <w:rsid w:val="00AC434A"/>
    <w:rsid w:val="00AF5434"/>
    <w:rsid w:val="00B355ED"/>
    <w:rsid w:val="00B470AA"/>
    <w:rsid w:val="00C60C85"/>
    <w:rsid w:val="00C829D8"/>
    <w:rsid w:val="00C870DB"/>
    <w:rsid w:val="00D51B0A"/>
    <w:rsid w:val="00D63AD6"/>
    <w:rsid w:val="00D81920"/>
    <w:rsid w:val="00D95028"/>
    <w:rsid w:val="00D9539A"/>
    <w:rsid w:val="00DA5382"/>
    <w:rsid w:val="00E43241"/>
    <w:rsid w:val="00E53F65"/>
    <w:rsid w:val="00F404BB"/>
    <w:rsid w:val="00F543C9"/>
    <w:rsid w:val="00FE71FB"/>
    <w:rsid w:val="00FE77E8"/>
    <w:rsid w:val="02AA40B3"/>
    <w:rsid w:val="02C32A21"/>
    <w:rsid w:val="02F57F7F"/>
    <w:rsid w:val="032205B8"/>
    <w:rsid w:val="03563B89"/>
    <w:rsid w:val="0359122A"/>
    <w:rsid w:val="03DC24EC"/>
    <w:rsid w:val="054F43E6"/>
    <w:rsid w:val="061D5BB6"/>
    <w:rsid w:val="062852B3"/>
    <w:rsid w:val="07167816"/>
    <w:rsid w:val="076B2340"/>
    <w:rsid w:val="078732E8"/>
    <w:rsid w:val="093D7F2C"/>
    <w:rsid w:val="09723465"/>
    <w:rsid w:val="0974025A"/>
    <w:rsid w:val="0AFF5395"/>
    <w:rsid w:val="0B9856E5"/>
    <w:rsid w:val="0BA7404F"/>
    <w:rsid w:val="0BC7049F"/>
    <w:rsid w:val="0BE56BDA"/>
    <w:rsid w:val="0C341FCF"/>
    <w:rsid w:val="0C594818"/>
    <w:rsid w:val="0CDB347F"/>
    <w:rsid w:val="0D476D86"/>
    <w:rsid w:val="0E9139A6"/>
    <w:rsid w:val="0EAD69D3"/>
    <w:rsid w:val="0EFD56D6"/>
    <w:rsid w:val="0F6800D6"/>
    <w:rsid w:val="0FC10C91"/>
    <w:rsid w:val="102A3388"/>
    <w:rsid w:val="110C01F0"/>
    <w:rsid w:val="11BF7AE8"/>
    <w:rsid w:val="13F13CC6"/>
    <w:rsid w:val="14832BEF"/>
    <w:rsid w:val="14CD744E"/>
    <w:rsid w:val="15BB421C"/>
    <w:rsid w:val="16E33827"/>
    <w:rsid w:val="1731785B"/>
    <w:rsid w:val="1780440A"/>
    <w:rsid w:val="17B44371"/>
    <w:rsid w:val="1AE132FC"/>
    <w:rsid w:val="1B5E2C9F"/>
    <w:rsid w:val="1C3B6584"/>
    <w:rsid w:val="1CDC7B67"/>
    <w:rsid w:val="1DDC6523"/>
    <w:rsid w:val="1EF849DE"/>
    <w:rsid w:val="1FD1187C"/>
    <w:rsid w:val="21B01161"/>
    <w:rsid w:val="23373518"/>
    <w:rsid w:val="23D556CB"/>
    <w:rsid w:val="2434037D"/>
    <w:rsid w:val="24D65713"/>
    <w:rsid w:val="266A4CCF"/>
    <w:rsid w:val="26CE487B"/>
    <w:rsid w:val="272C025E"/>
    <w:rsid w:val="289F3AC2"/>
    <w:rsid w:val="28E05A89"/>
    <w:rsid w:val="298C78D4"/>
    <w:rsid w:val="29E91FC7"/>
    <w:rsid w:val="2A421FA9"/>
    <w:rsid w:val="2A943890"/>
    <w:rsid w:val="2AC84E42"/>
    <w:rsid w:val="2BB51544"/>
    <w:rsid w:val="2C4D5EF8"/>
    <w:rsid w:val="2C7D1D44"/>
    <w:rsid w:val="2CA53DBF"/>
    <w:rsid w:val="2CB33700"/>
    <w:rsid w:val="2CC203FD"/>
    <w:rsid w:val="2DF41E15"/>
    <w:rsid w:val="2E9D1016"/>
    <w:rsid w:val="2EB00F85"/>
    <w:rsid w:val="2FA16BA3"/>
    <w:rsid w:val="31165B73"/>
    <w:rsid w:val="31667E8F"/>
    <w:rsid w:val="31B176A4"/>
    <w:rsid w:val="32544F10"/>
    <w:rsid w:val="34192C49"/>
    <w:rsid w:val="34275CD1"/>
    <w:rsid w:val="34445E24"/>
    <w:rsid w:val="34EF00C7"/>
    <w:rsid w:val="35D86ED6"/>
    <w:rsid w:val="36A66A34"/>
    <w:rsid w:val="36CC4EFB"/>
    <w:rsid w:val="399838AD"/>
    <w:rsid w:val="3AA5023F"/>
    <w:rsid w:val="3B4A0F74"/>
    <w:rsid w:val="3BB344C6"/>
    <w:rsid w:val="3BFD075B"/>
    <w:rsid w:val="3C2615B8"/>
    <w:rsid w:val="3E8F2F80"/>
    <w:rsid w:val="3F1828C8"/>
    <w:rsid w:val="3F4E758D"/>
    <w:rsid w:val="3FAA7616"/>
    <w:rsid w:val="413D667A"/>
    <w:rsid w:val="41A430E8"/>
    <w:rsid w:val="42263B79"/>
    <w:rsid w:val="42C208A6"/>
    <w:rsid w:val="430039DF"/>
    <w:rsid w:val="43187138"/>
    <w:rsid w:val="44966BBE"/>
    <w:rsid w:val="47151595"/>
    <w:rsid w:val="473F5C1E"/>
    <w:rsid w:val="48D20A29"/>
    <w:rsid w:val="490C2FE5"/>
    <w:rsid w:val="4A4F680E"/>
    <w:rsid w:val="4C412B99"/>
    <w:rsid w:val="4C7D739B"/>
    <w:rsid w:val="4C8E3C10"/>
    <w:rsid w:val="4D4507F2"/>
    <w:rsid w:val="4FDF2470"/>
    <w:rsid w:val="50666B6A"/>
    <w:rsid w:val="50FA657F"/>
    <w:rsid w:val="520D7BA7"/>
    <w:rsid w:val="52C73562"/>
    <w:rsid w:val="538C75F7"/>
    <w:rsid w:val="53FE1FFE"/>
    <w:rsid w:val="54507888"/>
    <w:rsid w:val="5468643B"/>
    <w:rsid w:val="54D46FD4"/>
    <w:rsid w:val="555A0F92"/>
    <w:rsid w:val="55B20026"/>
    <w:rsid w:val="55C91693"/>
    <w:rsid w:val="571B4600"/>
    <w:rsid w:val="580C2764"/>
    <w:rsid w:val="58620F5C"/>
    <w:rsid w:val="58DE105C"/>
    <w:rsid w:val="59D44EC7"/>
    <w:rsid w:val="5ACF163E"/>
    <w:rsid w:val="5D3119D1"/>
    <w:rsid w:val="5DE253D8"/>
    <w:rsid w:val="5DE47240"/>
    <w:rsid w:val="5E0A2187"/>
    <w:rsid w:val="5E2D4789"/>
    <w:rsid w:val="5F731644"/>
    <w:rsid w:val="5F7753FF"/>
    <w:rsid w:val="5FED2422"/>
    <w:rsid w:val="600336B6"/>
    <w:rsid w:val="60472B8E"/>
    <w:rsid w:val="60F431A7"/>
    <w:rsid w:val="61BE7764"/>
    <w:rsid w:val="61C651C9"/>
    <w:rsid w:val="621D4351"/>
    <w:rsid w:val="6534088C"/>
    <w:rsid w:val="674401ED"/>
    <w:rsid w:val="677D16EC"/>
    <w:rsid w:val="680A2475"/>
    <w:rsid w:val="68827D2D"/>
    <w:rsid w:val="691010BA"/>
    <w:rsid w:val="6A5D7AD9"/>
    <w:rsid w:val="6A71429D"/>
    <w:rsid w:val="6AA41040"/>
    <w:rsid w:val="6AD1407E"/>
    <w:rsid w:val="6AF6481F"/>
    <w:rsid w:val="6B8C1580"/>
    <w:rsid w:val="6C50120B"/>
    <w:rsid w:val="6D792307"/>
    <w:rsid w:val="6DA63BE6"/>
    <w:rsid w:val="6E4F72AA"/>
    <w:rsid w:val="6EEF4EEB"/>
    <w:rsid w:val="6F850DFE"/>
    <w:rsid w:val="6FAF1785"/>
    <w:rsid w:val="706758D9"/>
    <w:rsid w:val="70A9092A"/>
    <w:rsid w:val="716F1CA4"/>
    <w:rsid w:val="71EC6076"/>
    <w:rsid w:val="72E552A7"/>
    <w:rsid w:val="73276853"/>
    <w:rsid w:val="733F4B8F"/>
    <w:rsid w:val="73BF2AD8"/>
    <w:rsid w:val="73DF0A74"/>
    <w:rsid w:val="74214904"/>
    <w:rsid w:val="75106E1F"/>
    <w:rsid w:val="75913AF6"/>
    <w:rsid w:val="75C22B6F"/>
    <w:rsid w:val="75ED511E"/>
    <w:rsid w:val="76392124"/>
    <w:rsid w:val="7714227D"/>
    <w:rsid w:val="77593AF9"/>
    <w:rsid w:val="77D75B59"/>
    <w:rsid w:val="77EA6029"/>
    <w:rsid w:val="790E456D"/>
    <w:rsid w:val="7916458E"/>
    <w:rsid w:val="79864D87"/>
    <w:rsid w:val="799E3D44"/>
    <w:rsid w:val="7A264C90"/>
    <w:rsid w:val="7AC313F4"/>
    <w:rsid w:val="7B1F0E2A"/>
    <w:rsid w:val="7B400768"/>
    <w:rsid w:val="7C993A7C"/>
    <w:rsid w:val="7D4B5792"/>
    <w:rsid w:val="7DCC0473"/>
    <w:rsid w:val="7DD359DC"/>
    <w:rsid w:val="7E2857B4"/>
    <w:rsid w:val="7E5440A2"/>
    <w:rsid w:val="7E63628A"/>
    <w:rsid w:val="7F2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31"/>
      <w:ind w:left="359" w:hanging="360"/>
      <w:jc w:val="center"/>
      <w:outlineLvl w:val="0"/>
    </w:pPr>
    <w:rPr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spacing w:before="303"/>
      <w:ind w:left="4074" w:hanging="488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247"/>
      <w:ind w:left="1236"/>
      <w:outlineLvl w:val="2"/>
    </w:pPr>
    <w:rPr>
      <w:b/>
      <w:bCs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qFormat/>
    <w:uiPriority w:val="0"/>
  </w:style>
  <w:style w:type="paragraph" w:styleId="6">
    <w:name w:val="Body Text"/>
    <w:basedOn w:val="1"/>
    <w:qFormat/>
    <w:uiPriority w:val="1"/>
    <w:pPr>
      <w:spacing w:before="156"/>
      <w:ind w:left="240"/>
    </w:pPr>
    <w:rPr>
      <w:sz w:val="24"/>
      <w:szCs w:val="24"/>
    </w:rPr>
  </w:style>
  <w:style w:type="paragraph" w:styleId="7">
    <w:name w:val="toc 3"/>
    <w:basedOn w:val="1"/>
    <w:qFormat/>
    <w:uiPriority w:val="1"/>
    <w:pPr>
      <w:spacing w:before="151"/>
      <w:ind w:left="787" w:hanging="326"/>
    </w:pPr>
    <w:rPr>
      <w:rFonts w:ascii="等线" w:hAnsi="等线" w:eastAsia="等线" w:cs="等线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qFormat/>
    <w:uiPriority w:val="1"/>
    <w:pPr>
      <w:spacing w:before="149"/>
      <w:ind w:left="165" w:hanging="165"/>
      <w:jc w:val="center"/>
    </w:pPr>
  </w:style>
  <w:style w:type="paragraph" w:styleId="12">
    <w:name w:val="toc 2"/>
    <w:basedOn w:val="1"/>
    <w:qFormat/>
    <w:uiPriority w:val="1"/>
    <w:pPr>
      <w:spacing w:before="149"/>
      <w:ind w:left="240"/>
    </w:pPr>
  </w:style>
  <w:style w:type="paragraph" w:styleId="13">
    <w:name w:val="Title"/>
    <w:basedOn w:val="1"/>
    <w:qFormat/>
    <w:uiPriority w:val="1"/>
    <w:pPr>
      <w:ind w:left="1236" w:right="1232"/>
      <w:jc w:val="center"/>
    </w:pPr>
    <w:rPr>
      <w:sz w:val="44"/>
      <w:szCs w:val="44"/>
    </w:rPr>
  </w:style>
  <w:style w:type="paragraph" w:styleId="14">
    <w:name w:val="annotation subject"/>
    <w:basedOn w:val="5"/>
    <w:next w:val="5"/>
    <w:link w:val="26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spacing w:before="156"/>
      <w:ind w:left="240" w:hanging="240"/>
    </w:pPr>
  </w:style>
  <w:style w:type="paragraph" w:customStyle="1" w:styleId="21">
    <w:name w:val="Table Paragraph"/>
    <w:basedOn w:val="1"/>
    <w:qFormat/>
    <w:uiPriority w:val="1"/>
    <w:pPr>
      <w:spacing w:before="121"/>
      <w:ind w:left="8"/>
      <w:jc w:val="center"/>
    </w:pPr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5">
    <w:name w:val="批注文字 Char"/>
    <w:basedOn w:val="17"/>
    <w:link w:val="5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26">
    <w:name w:val="批注主题 Char"/>
    <w:basedOn w:val="25"/>
    <w:link w:val="14"/>
    <w:qFormat/>
    <w:uiPriority w:val="0"/>
    <w:rPr>
      <w:rFonts w:ascii="宋体" w:hAnsi="宋体" w:eastAsia="宋体" w:cs="宋体"/>
      <w:b/>
      <w:bCs/>
      <w:sz w:val="22"/>
      <w:szCs w:val="22"/>
    </w:rPr>
  </w:style>
  <w:style w:type="character" w:customStyle="1" w:styleId="27">
    <w:name w:val="批注框文本 Char"/>
    <w:basedOn w:val="17"/>
    <w:link w:val="8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8">
    <w:name w:val="页眉 Char"/>
    <w:basedOn w:val="17"/>
    <w:link w:val="10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9">
    <w:name w:val="页脚 Char"/>
    <w:basedOn w:val="17"/>
    <w:link w:val="9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2038</Words>
  <Characters>2352</Characters>
  <Lines>179</Lines>
  <Paragraphs>50</Paragraphs>
  <TotalTime>2615</TotalTime>
  <ScaleCrop>false</ScaleCrop>
  <LinksUpToDate>false</LinksUpToDate>
  <CharactersWithSpaces>2411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2025-08-07T07:38:00Z</dcterms:created>
  <dc:creator>JKY100</dc:creator>
  <cp:lastModifiedBy>李洪斌</cp:lastModifiedBy>
  <dcterms:modified xsi:type="dcterms:W3CDTF">2025-10-30T08:18:19Z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2025-08-07T00:00:00Z</vt:filetime>
  </property>
  <property fmtid="{D5CDD505-2E9C-101B-9397-08002B2CF9AE}" pid="5" name="SourceModified">
    <vt:lpwstr>D:20250501092429+08'00'</vt:lpwstr>
  </property>
  <property fmtid="{D5CDD505-2E9C-101B-9397-08002B2CF9AE}" pid="6" name="KSOProductBuildVer">
    <vt:lpwstr>2052-12.1.0.23125</vt:lpwstr>
  </property>
  <property fmtid="{D5CDD505-2E9C-101B-9397-08002B2CF9AE}" pid="7" name="ICV">
    <vt:lpwstr>8422AE1478224E43A50607FF2BBEB12B_13</vt:lpwstr>
  </property>
  <property fmtid="{D5CDD505-2E9C-101B-9397-08002B2CF9AE}" pid="8" name="KSOTemplateDocerSaveRecord">
    <vt:lpwstr>eyJoZGlkIjoiNTgxNWVlNjY0ZDhiMDZjOGRjNmQwMWFjMmE5ZDI2ZGUiLCJ1c2VySWQiOiIyNTk4ODg3MzQifQ==</vt:lpwstr>
  </property>
</Properties>
</file>